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14" w:rsidRDefault="002A6814" w:rsidP="002A6814">
      <w:pPr>
        <w:spacing w:line="440" w:lineRule="exact"/>
        <w:rPr>
          <w:rFonts w:ascii="標楷體" w:eastAsia="標楷體" w:hAnsi="標楷體" w:cs="Arial"/>
          <w:sz w:val="28"/>
          <w:szCs w:val="28"/>
        </w:rPr>
      </w:pPr>
      <w:r>
        <w:rPr>
          <w:rFonts w:ascii="標楷體" w:eastAsia="標楷體" w:hAnsi="標楷體" w:cs="Arial" w:hint="eastAsia"/>
          <w:sz w:val="28"/>
          <w:szCs w:val="28"/>
        </w:rPr>
        <w:t>活動期程表：</w:t>
      </w:r>
    </w:p>
    <w:tbl>
      <w:tblPr>
        <w:tblW w:w="1563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2011"/>
        <w:gridCol w:w="2693"/>
        <w:gridCol w:w="5786"/>
        <w:gridCol w:w="1701"/>
        <w:gridCol w:w="772"/>
        <w:gridCol w:w="929"/>
      </w:tblGrid>
      <w:tr w:rsidR="002A6814" w:rsidRPr="00131632" w:rsidTr="002A6814">
        <w:tc>
          <w:tcPr>
            <w:tcW w:w="1747" w:type="dxa"/>
          </w:tcPr>
          <w:p w:rsidR="002A6814" w:rsidRPr="00131632" w:rsidRDefault="002A6814" w:rsidP="00FE26ED">
            <w:pPr>
              <w:spacing w:line="440" w:lineRule="exact"/>
              <w:jc w:val="center"/>
              <w:rPr>
                <w:rFonts w:ascii="標楷體" w:eastAsia="標楷體" w:hAnsi="標楷體" w:cs="Arial"/>
              </w:rPr>
            </w:pPr>
            <w:r w:rsidRPr="00131632">
              <w:rPr>
                <w:rFonts w:ascii="標楷體" w:eastAsia="標楷體" w:hAnsi="標楷體" w:cs="Arial" w:hint="eastAsia"/>
              </w:rPr>
              <w:t>演出團體</w:t>
            </w:r>
          </w:p>
        </w:tc>
        <w:tc>
          <w:tcPr>
            <w:tcW w:w="2011" w:type="dxa"/>
          </w:tcPr>
          <w:p w:rsidR="002A6814" w:rsidRPr="00131632" w:rsidRDefault="002A6814" w:rsidP="002A6814">
            <w:pPr>
              <w:spacing w:line="440" w:lineRule="exact"/>
              <w:jc w:val="center"/>
              <w:rPr>
                <w:rFonts w:ascii="標楷體" w:eastAsia="標楷體" w:hAnsi="標楷體" w:cs="Arial"/>
              </w:rPr>
            </w:pPr>
            <w:r w:rsidRPr="00131632">
              <w:rPr>
                <w:rFonts w:ascii="標楷體" w:eastAsia="標楷體" w:hAnsi="標楷體" w:cs="Arial" w:hint="eastAsia"/>
              </w:rPr>
              <w:t>演出</w:t>
            </w:r>
          </w:p>
        </w:tc>
        <w:tc>
          <w:tcPr>
            <w:tcW w:w="2693" w:type="dxa"/>
          </w:tcPr>
          <w:p w:rsidR="002A6814" w:rsidRPr="00131632" w:rsidRDefault="002A6814" w:rsidP="00FE26ED">
            <w:pPr>
              <w:spacing w:line="440" w:lineRule="exact"/>
              <w:jc w:val="center"/>
              <w:rPr>
                <w:rFonts w:ascii="標楷體" w:eastAsia="標楷體" w:hAnsi="標楷體" w:cs="Arial"/>
              </w:rPr>
            </w:pPr>
            <w:r w:rsidRPr="00131632">
              <w:rPr>
                <w:rFonts w:ascii="標楷體" w:eastAsia="標楷體" w:hAnsi="標楷體" w:cs="Arial" w:hint="eastAsia"/>
              </w:rPr>
              <w:t>時間</w:t>
            </w:r>
          </w:p>
        </w:tc>
        <w:tc>
          <w:tcPr>
            <w:tcW w:w="5786" w:type="dxa"/>
          </w:tcPr>
          <w:p w:rsidR="002A6814" w:rsidRPr="00131632" w:rsidRDefault="002A6814" w:rsidP="00FE26ED">
            <w:pPr>
              <w:spacing w:line="440" w:lineRule="exact"/>
              <w:jc w:val="center"/>
              <w:rPr>
                <w:rFonts w:ascii="標楷體" w:eastAsia="標楷體" w:hAnsi="標楷體" w:cs="Arial"/>
              </w:rPr>
            </w:pPr>
            <w:r w:rsidRPr="00131632">
              <w:rPr>
                <w:rFonts w:ascii="標楷體" w:eastAsia="標楷體" w:hAnsi="標楷體" w:cs="Arial" w:hint="eastAsia"/>
              </w:rPr>
              <w:t>內容</w:t>
            </w:r>
          </w:p>
        </w:tc>
        <w:tc>
          <w:tcPr>
            <w:tcW w:w="1701" w:type="dxa"/>
          </w:tcPr>
          <w:p w:rsidR="002A6814" w:rsidRPr="00131632" w:rsidRDefault="002A6814" w:rsidP="00FE26ED">
            <w:pPr>
              <w:spacing w:line="440" w:lineRule="exact"/>
              <w:jc w:val="center"/>
              <w:rPr>
                <w:rFonts w:ascii="標楷體" w:eastAsia="標楷體" w:hAnsi="標楷體" w:cs="Arial"/>
              </w:rPr>
            </w:pPr>
            <w:r w:rsidRPr="00131632">
              <w:rPr>
                <w:rFonts w:ascii="標楷體" w:eastAsia="標楷體" w:hAnsi="標楷體" w:cs="Arial" w:hint="eastAsia"/>
              </w:rPr>
              <w:t>地點</w:t>
            </w:r>
          </w:p>
        </w:tc>
        <w:tc>
          <w:tcPr>
            <w:tcW w:w="772" w:type="dxa"/>
          </w:tcPr>
          <w:p w:rsidR="002A6814" w:rsidRPr="00131632" w:rsidRDefault="002A6814" w:rsidP="00FE26ED">
            <w:pPr>
              <w:spacing w:line="440" w:lineRule="exact"/>
              <w:jc w:val="center"/>
              <w:rPr>
                <w:rFonts w:ascii="標楷體" w:eastAsia="標楷體" w:hAnsi="標楷體" w:cs="Arial"/>
              </w:rPr>
            </w:pPr>
            <w:r w:rsidRPr="00131632">
              <w:rPr>
                <w:rFonts w:ascii="標楷體" w:eastAsia="標楷體" w:hAnsi="標楷體" w:cs="Arial" w:hint="eastAsia"/>
              </w:rPr>
              <w:t>參加對象</w:t>
            </w:r>
          </w:p>
        </w:tc>
        <w:tc>
          <w:tcPr>
            <w:tcW w:w="929" w:type="dxa"/>
          </w:tcPr>
          <w:p w:rsidR="002A6814" w:rsidRPr="00131632" w:rsidRDefault="002A6814" w:rsidP="00FE26ED">
            <w:pPr>
              <w:spacing w:line="440" w:lineRule="exact"/>
              <w:jc w:val="center"/>
              <w:rPr>
                <w:rFonts w:ascii="標楷體" w:eastAsia="標楷體" w:hAnsi="標楷體" w:cs="Arial"/>
              </w:rPr>
            </w:pPr>
            <w:r>
              <w:rPr>
                <w:rFonts w:ascii="標楷體" w:eastAsia="標楷體" w:hAnsi="標楷體" w:cs="Arial" w:hint="eastAsia"/>
              </w:rPr>
              <w:t>參加人數</w:t>
            </w:r>
          </w:p>
        </w:tc>
      </w:tr>
      <w:tr w:rsidR="002A6814" w:rsidRPr="00131632" w:rsidTr="002A6814">
        <w:tc>
          <w:tcPr>
            <w:tcW w:w="1747"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臺灣其雄木偶劇團</w:t>
            </w:r>
          </w:p>
        </w:tc>
        <w:tc>
          <w:tcPr>
            <w:tcW w:w="2011"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新狄青</w:t>
            </w:r>
          </w:p>
        </w:tc>
        <w:tc>
          <w:tcPr>
            <w:tcW w:w="2693" w:type="dxa"/>
          </w:tcPr>
          <w:p w:rsidR="002A6814" w:rsidRDefault="002A6814" w:rsidP="00FE26ED">
            <w:pPr>
              <w:spacing w:line="440" w:lineRule="exact"/>
              <w:rPr>
                <w:rFonts w:ascii="標楷體" w:eastAsia="標楷體" w:hAnsi="標楷體" w:cs="Arial"/>
              </w:rPr>
            </w:pPr>
          </w:p>
          <w:p w:rsidR="002A6814" w:rsidRDefault="002A6814" w:rsidP="00FE26ED">
            <w:pPr>
              <w:spacing w:line="440" w:lineRule="exact"/>
              <w:rPr>
                <w:rFonts w:ascii="標楷體" w:eastAsia="標楷體" w:hAnsi="標楷體" w:cs="Arial"/>
              </w:rPr>
            </w:pPr>
            <w:r>
              <w:rPr>
                <w:rFonts w:ascii="標楷體" w:eastAsia="標楷體" w:hAnsi="標楷體" w:cs="Arial" w:hint="eastAsia"/>
              </w:rPr>
              <w:t>102.9.24(二)</w:t>
            </w:r>
            <w:r w:rsidR="00492622">
              <w:rPr>
                <w:rFonts w:ascii="標楷體" w:eastAsia="標楷體" w:hAnsi="標楷體" w:cs="Arial" w:hint="eastAsia"/>
              </w:rPr>
              <w:t>10：00</w:t>
            </w:r>
          </w:p>
          <w:p w:rsidR="002A6814" w:rsidRPr="00131632" w:rsidRDefault="002A6814" w:rsidP="00492622">
            <w:pPr>
              <w:spacing w:line="440" w:lineRule="exact"/>
              <w:rPr>
                <w:rFonts w:ascii="標楷體" w:eastAsia="標楷體" w:hAnsi="標楷體" w:cs="Arial"/>
              </w:rPr>
            </w:pPr>
            <w:r>
              <w:rPr>
                <w:rFonts w:ascii="標楷體" w:eastAsia="標楷體" w:hAnsi="標楷體" w:cs="Arial" w:hint="eastAsia"/>
              </w:rPr>
              <w:t>102.10.2（</w:t>
            </w:r>
            <w:r>
              <w:rPr>
                <w:rFonts w:ascii="標楷體" w:eastAsia="標楷體" w:hint="eastAsia"/>
              </w:rPr>
              <w:t>三</w:t>
            </w:r>
            <w:r>
              <w:rPr>
                <w:rFonts w:ascii="標楷體" w:eastAsia="標楷體" w:hAnsi="標楷體" w:cs="Arial" w:hint="eastAsia"/>
              </w:rPr>
              <w:t>）</w:t>
            </w:r>
            <w:r w:rsidR="00492622">
              <w:rPr>
                <w:rFonts w:ascii="標楷體" w:eastAsia="標楷體" w:hAnsi="標楷體" w:cs="Arial" w:hint="eastAsia"/>
              </w:rPr>
              <w:t>10：00</w:t>
            </w:r>
          </w:p>
        </w:tc>
        <w:tc>
          <w:tcPr>
            <w:tcW w:w="5786" w:type="dxa"/>
          </w:tcPr>
          <w:p w:rsidR="002A6814" w:rsidRPr="00BE6512" w:rsidRDefault="00BE6512" w:rsidP="00BE6512">
            <w:pPr>
              <w:widowControl/>
              <w:spacing w:before="100" w:beforeAutospacing="1" w:after="100" w:afterAutospacing="1"/>
              <w:rPr>
                <w:rFonts w:ascii="標楷體" w:eastAsia="標楷體" w:hAnsi="標楷體" w:cs="Arial"/>
              </w:rPr>
            </w:pPr>
            <w:r w:rsidRPr="00BE6512">
              <w:rPr>
                <w:rFonts w:ascii="標楷體" w:eastAsia="標楷體" w:hAnsi="標楷體" w:hint="eastAsia"/>
              </w:rPr>
              <w:t>以關懷大愛為主，結合校園反霸</w:t>
            </w:r>
            <w:proofErr w:type="gramStart"/>
            <w:r w:rsidRPr="00BE6512">
              <w:rPr>
                <w:rFonts w:ascii="標楷體" w:eastAsia="標楷體" w:hAnsi="標楷體" w:hint="eastAsia"/>
              </w:rPr>
              <w:t>淩</w:t>
            </w:r>
            <w:proofErr w:type="gramEnd"/>
            <w:r w:rsidRPr="00BE6512">
              <w:rPr>
                <w:rFonts w:ascii="標楷體" w:eastAsia="標楷體" w:hAnsi="標楷體" w:hint="eastAsia"/>
              </w:rPr>
              <w:t>事件，相互融入劇情，慈悲者蓮花仙子，關懷大愛，得知狄青、淹沒水中，將狄青救回，並將水中拾獲狄家傳家寶交給狄青，作為日後尋找親人證物，並教導慈善為本，心中有愛，尊重長老，輩份的</w:t>
            </w:r>
            <w:r w:rsidRPr="00BE6512">
              <w:rPr>
                <w:rFonts w:eastAsia="標楷體" w:hint="eastAsia"/>
                <w:kern w:val="0"/>
              </w:rPr>
              <w:t>觀念</w:t>
            </w:r>
            <w:r w:rsidRPr="00BE6512">
              <w:rPr>
                <w:rFonts w:ascii="標楷體" w:eastAsia="標楷體" w:hAnsi="標楷體" w:hint="eastAsia"/>
              </w:rPr>
              <w:t>，受難者怎樣化悲痛為力量，反霸</w:t>
            </w:r>
            <w:proofErr w:type="gramStart"/>
            <w:r w:rsidRPr="00BE6512">
              <w:rPr>
                <w:rFonts w:ascii="標楷體" w:eastAsia="標楷體" w:hAnsi="標楷體" w:hint="eastAsia"/>
              </w:rPr>
              <w:t>淩</w:t>
            </w:r>
            <w:proofErr w:type="gramEnd"/>
            <w:r w:rsidRPr="00BE6512">
              <w:rPr>
                <w:rFonts w:ascii="標楷體" w:eastAsia="標楷體" w:hAnsi="標楷體" w:hint="eastAsia"/>
              </w:rPr>
              <w:t>並打擊黑道販售毒品，維護社會和平，尊師重道的觀念，敬老尊賢態度，不斷改造，並且點綴，讓劇情更加生動、活潑，並以關懷、</w:t>
            </w:r>
            <w:proofErr w:type="gramStart"/>
            <w:r w:rsidRPr="00BE6512">
              <w:rPr>
                <w:rFonts w:ascii="標楷體" w:eastAsia="標楷體" w:hAnsi="標楷體" w:hint="eastAsia"/>
              </w:rPr>
              <w:t>愛傳大眾</w:t>
            </w:r>
            <w:proofErr w:type="gramEnd"/>
            <w:r w:rsidRPr="00BE6512">
              <w:rPr>
                <w:rFonts w:ascii="標楷體" w:eastAsia="標楷體" w:hAnsi="標楷體" w:hint="eastAsia"/>
              </w:rPr>
              <w:t>，寓教於樂，互動方式，戲劇表演來詮釋，蘊涵創新風格，陪伴兒童。</w:t>
            </w:r>
          </w:p>
        </w:tc>
        <w:tc>
          <w:tcPr>
            <w:tcW w:w="1701" w:type="dxa"/>
          </w:tcPr>
          <w:p w:rsidR="002A6814" w:rsidRDefault="002A6814" w:rsidP="00FE26ED">
            <w:pPr>
              <w:spacing w:line="440" w:lineRule="exact"/>
              <w:rPr>
                <w:rFonts w:ascii="標楷體" w:eastAsia="標楷體" w:hAnsi="標楷體" w:cs="Arial"/>
              </w:rPr>
            </w:pPr>
          </w:p>
          <w:p w:rsidR="002A6814" w:rsidRDefault="002A6814" w:rsidP="00FE26ED">
            <w:pPr>
              <w:spacing w:line="440" w:lineRule="exact"/>
              <w:rPr>
                <w:rFonts w:ascii="標楷體" w:eastAsia="標楷體" w:hAnsi="標楷體" w:cs="Arial"/>
              </w:rPr>
            </w:pPr>
            <w:r>
              <w:rPr>
                <w:rFonts w:ascii="標楷體" w:eastAsia="標楷體" w:hAnsi="標楷體" w:cs="Arial" w:hint="eastAsia"/>
              </w:rPr>
              <w:t>歸仁文化中心</w:t>
            </w:r>
          </w:p>
          <w:p w:rsidR="002A6814" w:rsidRPr="00131632" w:rsidRDefault="00BA6D0D" w:rsidP="00FE26ED">
            <w:pPr>
              <w:spacing w:line="440" w:lineRule="exact"/>
              <w:rPr>
                <w:rFonts w:ascii="標楷體" w:eastAsia="標楷體" w:hAnsi="標楷體" w:cs="Arial"/>
              </w:rPr>
            </w:pPr>
            <w:proofErr w:type="gramStart"/>
            <w:r>
              <w:rPr>
                <w:rFonts w:ascii="標楷體" w:eastAsia="標楷體" w:hAnsi="標楷體" w:cs="Arial" w:hint="eastAsia"/>
              </w:rPr>
              <w:t>臺</w:t>
            </w:r>
            <w:proofErr w:type="gramEnd"/>
            <w:r>
              <w:rPr>
                <w:rFonts w:ascii="標楷體" w:eastAsia="標楷體" w:hAnsi="標楷體" w:cs="Arial" w:hint="eastAsia"/>
              </w:rPr>
              <w:t>南文化中心</w:t>
            </w:r>
            <w:r w:rsidR="002A6814">
              <w:rPr>
                <w:rFonts w:ascii="標楷體" w:eastAsia="標楷體" w:hAnsi="標楷體" w:cs="Arial" w:hint="eastAsia"/>
              </w:rPr>
              <w:t>原生劇場</w:t>
            </w:r>
          </w:p>
        </w:tc>
        <w:tc>
          <w:tcPr>
            <w:tcW w:w="772" w:type="dxa"/>
            <w:vAlign w:val="center"/>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國小</w:t>
            </w:r>
          </w:p>
        </w:tc>
        <w:tc>
          <w:tcPr>
            <w:tcW w:w="929" w:type="dxa"/>
          </w:tcPr>
          <w:p w:rsidR="002A6814" w:rsidRDefault="002A6814" w:rsidP="00FE26ED">
            <w:pPr>
              <w:spacing w:line="440" w:lineRule="exact"/>
              <w:rPr>
                <w:rFonts w:ascii="標楷體" w:eastAsia="標楷體" w:hAnsi="標楷體" w:cs="Arial"/>
              </w:rPr>
            </w:pPr>
          </w:p>
          <w:p w:rsidR="002A6814" w:rsidRDefault="002A6814" w:rsidP="00FE26ED">
            <w:pPr>
              <w:spacing w:line="440" w:lineRule="exact"/>
              <w:rPr>
                <w:rFonts w:ascii="標楷體" w:eastAsia="標楷體" w:hAnsi="標楷體" w:cs="Arial"/>
              </w:rPr>
            </w:pPr>
            <w:r>
              <w:rPr>
                <w:rFonts w:ascii="標楷體" w:eastAsia="標楷體" w:hAnsi="標楷體" w:cs="Arial" w:hint="eastAsia"/>
              </w:rPr>
              <w:t>1.700</w:t>
            </w:r>
          </w:p>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2.260</w:t>
            </w:r>
          </w:p>
        </w:tc>
      </w:tr>
      <w:tr w:rsidR="002A6814" w:rsidRPr="00131632" w:rsidTr="002A6814">
        <w:tc>
          <w:tcPr>
            <w:tcW w:w="1747" w:type="dxa"/>
          </w:tcPr>
          <w:p w:rsidR="002A6814" w:rsidRPr="00131632" w:rsidRDefault="002A6814" w:rsidP="00FE26ED">
            <w:pPr>
              <w:spacing w:line="440" w:lineRule="exact"/>
              <w:rPr>
                <w:rFonts w:ascii="標楷體" w:eastAsia="標楷體" w:hAnsi="標楷體" w:cs="Arial"/>
              </w:rPr>
            </w:pPr>
            <w:r w:rsidRPr="00AC032E">
              <w:rPr>
                <w:rFonts w:ascii="標楷體" w:eastAsia="標楷體" w:hint="eastAsia"/>
              </w:rPr>
              <w:t>鐵支路</w:t>
            </w:r>
            <w:r w:rsidRPr="00AC032E">
              <w:rPr>
                <w:rFonts w:ascii="標楷體" w:eastAsia="標楷體" w:hAnsi="標楷體" w:hint="eastAsia"/>
              </w:rPr>
              <w:t>邊創作體</w:t>
            </w:r>
          </w:p>
        </w:tc>
        <w:tc>
          <w:tcPr>
            <w:tcW w:w="2011"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王子徹夜未眠</w:t>
            </w:r>
          </w:p>
        </w:tc>
        <w:tc>
          <w:tcPr>
            <w:tcW w:w="2693" w:type="dxa"/>
          </w:tcPr>
          <w:p w:rsidR="002A6814" w:rsidRDefault="002A6814" w:rsidP="00FE26ED">
            <w:pPr>
              <w:spacing w:line="440" w:lineRule="exact"/>
              <w:rPr>
                <w:rFonts w:ascii="標楷體" w:eastAsia="標楷體" w:hAnsi="標楷體" w:cs="Arial"/>
              </w:rPr>
            </w:pPr>
          </w:p>
          <w:p w:rsidR="002A0530" w:rsidRDefault="002A6814" w:rsidP="002A0530">
            <w:pPr>
              <w:spacing w:line="440" w:lineRule="exact"/>
              <w:rPr>
                <w:rFonts w:ascii="標楷體" w:eastAsia="標楷體" w:hAnsi="標楷體" w:cs="Arial"/>
              </w:rPr>
            </w:pPr>
            <w:r>
              <w:rPr>
                <w:rFonts w:ascii="標楷體" w:eastAsia="標楷體" w:hAnsi="標楷體" w:cs="Arial" w:hint="eastAsia"/>
              </w:rPr>
              <w:t>102.10.15（二）10：00</w:t>
            </w:r>
          </w:p>
          <w:p w:rsidR="002A6814" w:rsidRPr="00131632" w:rsidRDefault="002A0530" w:rsidP="002A0530">
            <w:pPr>
              <w:spacing w:line="440" w:lineRule="exact"/>
              <w:rPr>
                <w:rFonts w:ascii="標楷體" w:eastAsia="標楷體" w:hAnsi="標楷體" w:cs="Arial"/>
              </w:rPr>
            </w:pPr>
            <w:r>
              <w:rPr>
                <w:rFonts w:ascii="標楷體" w:eastAsia="標楷體" w:hAnsi="標楷體" w:cs="Arial" w:hint="eastAsia"/>
              </w:rPr>
              <w:t>102.10.15（二）</w:t>
            </w:r>
            <w:r w:rsidR="002A6814">
              <w:rPr>
                <w:rFonts w:ascii="標楷體" w:eastAsia="標楷體" w:hAnsi="標楷體" w:cs="Arial" w:hint="eastAsia"/>
              </w:rPr>
              <w:t>1</w:t>
            </w:r>
            <w:r>
              <w:rPr>
                <w:rFonts w:ascii="標楷體" w:eastAsia="標楷體" w:hAnsi="標楷體" w:cs="Arial" w:hint="eastAsia"/>
              </w:rPr>
              <w:t>3</w:t>
            </w:r>
            <w:r w:rsidR="002A6814">
              <w:rPr>
                <w:rFonts w:ascii="標楷體" w:eastAsia="標楷體" w:hAnsi="標楷體" w:cs="Arial" w:hint="eastAsia"/>
              </w:rPr>
              <w:t>：</w:t>
            </w:r>
            <w:r>
              <w:rPr>
                <w:rFonts w:ascii="標楷體" w:eastAsia="標楷體" w:hAnsi="標楷體" w:cs="Arial" w:hint="eastAsia"/>
              </w:rPr>
              <w:t>4</w:t>
            </w:r>
            <w:r w:rsidR="002A6814">
              <w:rPr>
                <w:rFonts w:ascii="標楷體" w:eastAsia="標楷體" w:hAnsi="標楷體" w:cs="Arial" w:hint="eastAsia"/>
              </w:rPr>
              <w:t>0</w:t>
            </w:r>
          </w:p>
        </w:tc>
        <w:tc>
          <w:tcPr>
            <w:tcW w:w="5786" w:type="dxa"/>
          </w:tcPr>
          <w:p w:rsidR="002A6814" w:rsidRDefault="00B21990" w:rsidP="00BE6512">
            <w:pPr>
              <w:widowControl/>
              <w:spacing w:before="100" w:beforeAutospacing="1" w:after="100" w:afterAutospacing="1"/>
              <w:rPr>
                <w:rFonts w:ascii="標楷體" w:eastAsia="標楷體" w:hAnsi="標楷體" w:cs="Arial"/>
              </w:rPr>
            </w:pPr>
            <w:r w:rsidRPr="00EC4945">
              <w:rPr>
                <w:rFonts w:ascii="標楷體" w:eastAsia="標楷體" w:hAnsi="標楷體" w:hint="eastAsia"/>
              </w:rPr>
              <w:t>藉由主人翁的夢境與巫婆的魔法，融合了四個耳熟能詳的童話故事，包括睡美人、青蛙王子、白雪公主及灰姑娘等，帶領現場觀眾們體驗童話古堡莊園的情境，感受神秘魔法的魅力，而且讓孩童們從有聲有色的表演中深入思考，遇到困難時可以選擇「逃避」，也可以選擇去「面對」它，藉由寓教於樂的方式讓大人們和小朋友們在觀賞後仍能細細回味童話故事中的小小啟示。</w:t>
            </w:r>
          </w:p>
        </w:tc>
        <w:tc>
          <w:tcPr>
            <w:tcW w:w="1701"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新化演藝廳</w:t>
            </w:r>
          </w:p>
        </w:tc>
        <w:tc>
          <w:tcPr>
            <w:tcW w:w="772"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國小</w:t>
            </w:r>
          </w:p>
        </w:tc>
        <w:tc>
          <w:tcPr>
            <w:tcW w:w="929"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440*2=880</w:t>
            </w:r>
          </w:p>
        </w:tc>
      </w:tr>
      <w:tr w:rsidR="002A6814" w:rsidRPr="00131632" w:rsidTr="002A6814">
        <w:tc>
          <w:tcPr>
            <w:tcW w:w="1747" w:type="dxa"/>
          </w:tcPr>
          <w:p w:rsidR="002A6814" w:rsidRPr="009E2768" w:rsidRDefault="002A6814" w:rsidP="00FE26ED">
            <w:pPr>
              <w:spacing w:line="440" w:lineRule="exact"/>
              <w:rPr>
                <w:rFonts w:ascii="標楷體" w:eastAsia="標楷體" w:hAnsi="標楷體" w:cs="Arial"/>
              </w:rPr>
            </w:pPr>
            <w:r w:rsidRPr="009E2768">
              <w:rPr>
                <w:rFonts w:ascii="標楷體" w:eastAsia="標楷體" w:hAnsi="標楷體" w:hint="eastAsia"/>
              </w:rPr>
              <w:t>影響</w:t>
            </w:r>
            <w:proofErr w:type="gramStart"/>
            <w:r w:rsidRPr="009E2768">
              <w:rPr>
                <w:rFonts w:ascii="標楷體" w:eastAsia="標楷體" w:hAnsi="標楷體" w:hint="eastAsia"/>
              </w:rPr>
              <w:t>‧</w:t>
            </w:r>
            <w:proofErr w:type="gramEnd"/>
            <w:r w:rsidRPr="009E2768">
              <w:rPr>
                <w:rFonts w:ascii="標楷體" w:eastAsia="標楷體" w:hAnsi="標楷體" w:hint="eastAsia"/>
              </w:rPr>
              <w:t>新劇場</w:t>
            </w:r>
          </w:p>
        </w:tc>
        <w:tc>
          <w:tcPr>
            <w:tcW w:w="2011" w:type="dxa"/>
          </w:tcPr>
          <w:p w:rsidR="002A6814" w:rsidRPr="009E2768" w:rsidRDefault="002A6814" w:rsidP="00FE26ED">
            <w:pPr>
              <w:spacing w:line="440" w:lineRule="exact"/>
              <w:rPr>
                <w:rFonts w:ascii="標楷體" w:eastAsia="標楷體" w:hAnsi="標楷體" w:cs="Arial"/>
              </w:rPr>
            </w:pPr>
            <w:proofErr w:type="gramStart"/>
            <w:r w:rsidRPr="009E2768">
              <w:rPr>
                <w:rFonts w:ascii="標楷體" w:eastAsia="標楷體" w:hAnsi="標楷體" w:hint="eastAsia"/>
              </w:rPr>
              <w:t>閱遇計畫</w:t>
            </w:r>
            <w:proofErr w:type="gramEnd"/>
          </w:p>
        </w:tc>
        <w:tc>
          <w:tcPr>
            <w:tcW w:w="2693"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102.11.4(</w:t>
            </w:r>
            <w:proofErr w:type="gramStart"/>
            <w:r>
              <w:rPr>
                <w:rFonts w:ascii="標楷體" w:eastAsia="標楷體" w:hAnsi="標楷體" w:cs="Arial" w:hint="eastAsia"/>
              </w:rPr>
              <w:t>一</w:t>
            </w:r>
            <w:proofErr w:type="gramEnd"/>
            <w:r>
              <w:rPr>
                <w:rFonts w:ascii="標楷體" w:eastAsia="標楷體" w:hAnsi="標楷體" w:cs="Arial" w:hint="eastAsia"/>
              </w:rPr>
              <w:t>)9:30</w:t>
            </w:r>
          </w:p>
        </w:tc>
        <w:tc>
          <w:tcPr>
            <w:tcW w:w="5786" w:type="dxa"/>
          </w:tcPr>
          <w:p w:rsidR="002A6814" w:rsidRDefault="002A6814" w:rsidP="00BE6512">
            <w:pPr>
              <w:widowControl/>
              <w:spacing w:before="100" w:beforeAutospacing="1" w:after="100" w:afterAutospacing="1"/>
              <w:rPr>
                <w:rFonts w:ascii="標楷體" w:eastAsia="標楷體" w:hAnsi="標楷體" w:cs="Arial"/>
              </w:rPr>
            </w:pPr>
            <w:r>
              <w:rPr>
                <w:rFonts w:ascii="標楷體" w:eastAsia="標楷體" w:hAnsi="標楷體" w:hint="eastAsia"/>
              </w:rPr>
              <w:t>以九</w:t>
            </w:r>
            <w:r w:rsidRPr="00A4512E">
              <w:rPr>
                <w:rFonts w:ascii="標楷體" w:eastAsia="標楷體" w:hAnsi="標楷體" w:hint="eastAsia"/>
              </w:rPr>
              <w:t>本台灣兒童繪本故事</w:t>
            </w:r>
            <w:r>
              <w:rPr>
                <w:rFonts w:ascii="標楷體" w:eastAsia="標楷體" w:hAnsi="標楷體" w:hint="eastAsia"/>
              </w:rPr>
              <w:t>為靈感，</w:t>
            </w:r>
            <w:r w:rsidRPr="00A4512E">
              <w:rPr>
                <w:rFonts w:ascii="標楷體" w:eastAsia="標楷體" w:hAnsi="標楷體" w:hint="eastAsia"/>
              </w:rPr>
              <w:t>機巧串聯</w:t>
            </w:r>
            <w:proofErr w:type="gramStart"/>
            <w:r>
              <w:rPr>
                <w:rFonts w:ascii="標楷體" w:eastAsia="標楷體" w:hAnsi="標楷體" w:hint="eastAsia"/>
              </w:rPr>
              <w:t>各個</w:t>
            </w:r>
            <w:r w:rsidRPr="00A4512E">
              <w:rPr>
                <w:rFonts w:ascii="標楷體" w:eastAsia="標楷體" w:hAnsi="標楷體" w:hint="eastAsia"/>
              </w:rPr>
              <w:t>繪</w:t>
            </w:r>
            <w:proofErr w:type="gramEnd"/>
            <w:r w:rsidRPr="00A4512E">
              <w:rPr>
                <w:rFonts w:ascii="標楷體" w:eastAsia="標楷體" w:hAnsi="標楷體" w:hint="eastAsia"/>
              </w:rPr>
              <w:t>本</w:t>
            </w:r>
            <w:r>
              <w:rPr>
                <w:rFonts w:ascii="標楷體" w:eastAsia="標楷體" w:hAnsi="標楷體" w:hint="eastAsia"/>
              </w:rPr>
              <w:t>情節，並將</w:t>
            </w:r>
            <w:r w:rsidRPr="00A4512E">
              <w:rPr>
                <w:rFonts w:ascii="標楷體" w:eastAsia="標楷體" w:hAnsi="標楷體" w:hint="eastAsia"/>
              </w:rPr>
              <w:t>故事人物融入在劇情中，</w:t>
            </w:r>
            <w:r w:rsidRPr="00A4512E">
              <w:rPr>
                <w:rFonts w:ascii="標楷體" w:eastAsia="標楷體" w:hAnsi="標楷體"/>
              </w:rPr>
              <w:t>觀眾跟著角色們</w:t>
            </w:r>
            <w:r w:rsidRPr="00A4512E">
              <w:rPr>
                <w:rFonts w:ascii="標楷體" w:eastAsia="標楷體" w:hAnsi="標楷體" w:hint="eastAsia"/>
              </w:rPr>
              <w:t>的經歷，</w:t>
            </w:r>
            <w:r w:rsidRPr="00A4512E">
              <w:rPr>
                <w:rFonts w:ascii="標楷體" w:eastAsia="標楷體" w:hAnsi="標楷體"/>
              </w:rPr>
              <w:t>趣味地解開劇中一道</w:t>
            </w:r>
            <w:proofErr w:type="gramStart"/>
            <w:r w:rsidRPr="00A4512E">
              <w:rPr>
                <w:rFonts w:ascii="標楷體" w:eastAsia="標楷體" w:hAnsi="標楷體"/>
              </w:rPr>
              <w:t>道</w:t>
            </w:r>
            <w:proofErr w:type="gramEnd"/>
            <w:r w:rsidRPr="00A4512E">
              <w:rPr>
                <w:rFonts w:ascii="標楷體" w:eastAsia="標楷體" w:hAnsi="標楷體"/>
              </w:rPr>
              <w:t>不可思議的冒險任務，從中</w:t>
            </w:r>
            <w:r w:rsidRPr="00A4512E">
              <w:rPr>
                <w:rFonts w:ascii="標楷體" w:eastAsia="標楷體" w:hAnsi="標楷體" w:hint="eastAsia"/>
              </w:rPr>
              <w:t>體會</w:t>
            </w:r>
            <w:r w:rsidRPr="00A4512E">
              <w:rPr>
                <w:rFonts w:ascii="標楷體" w:eastAsia="標楷體" w:hAnsi="標楷體"/>
              </w:rPr>
              <w:t>不同時代</w:t>
            </w:r>
            <w:r w:rsidRPr="00A4512E">
              <w:rPr>
                <w:rFonts w:ascii="標楷體" w:eastAsia="標楷體" w:hAnsi="標楷體" w:hint="eastAsia"/>
              </w:rPr>
              <w:t>、不同</w:t>
            </w:r>
            <w:r w:rsidRPr="00A4512E">
              <w:rPr>
                <w:rFonts w:ascii="標楷體" w:eastAsia="標楷體" w:hAnsi="標楷體"/>
              </w:rPr>
              <w:t>族群的</w:t>
            </w:r>
            <w:r w:rsidRPr="00A4512E">
              <w:rPr>
                <w:rFonts w:ascii="標楷體" w:eastAsia="標楷體" w:hAnsi="標楷體" w:hint="eastAsia"/>
              </w:rPr>
              <w:t>特色與</w:t>
            </w:r>
            <w:r w:rsidRPr="00A4512E">
              <w:rPr>
                <w:rFonts w:ascii="標楷體" w:eastAsia="標楷體" w:hAnsi="標楷體"/>
              </w:rPr>
              <w:t>故事，</w:t>
            </w:r>
            <w:r w:rsidRPr="00A4512E">
              <w:rPr>
                <w:rFonts w:ascii="標楷體" w:eastAsia="標楷體" w:hAnsi="標楷體" w:hint="eastAsia"/>
              </w:rPr>
              <w:t>並在看完戲後，</w:t>
            </w:r>
            <w:r w:rsidRPr="00A4512E">
              <w:rPr>
                <w:rFonts w:ascii="標楷體" w:eastAsia="標楷體" w:hAnsi="標楷體"/>
              </w:rPr>
              <w:t>進而</w:t>
            </w:r>
            <w:r w:rsidRPr="00A4512E">
              <w:rPr>
                <w:rFonts w:ascii="標楷體" w:eastAsia="標楷體" w:hAnsi="標楷體" w:hint="eastAsia"/>
              </w:rPr>
              <w:t>開</w:t>
            </w:r>
            <w:r w:rsidRPr="00A4512E">
              <w:rPr>
                <w:rFonts w:ascii="標楷體" w:eastAsia="標楷體" w:hAnsi="標楷體"/>
              </w:rPr>
              <w:t>啟兒童</w:t>
            </w:r>
            <w:r>
              <w:rPr>
                <w:rFonts w:ascii="標楷體" w:eastAsia="標楷體" w:hAnsi="標楷體" w:hint="eastAsia"/>
              </w:rPr>
              <w:t>對於想像力、勇於冒險，以及</w:t>
            </w:r>
            <w:r w:rsidRPr="00A4512E">
              <w:rPr>
                <w:rFonts w:ascii="標楷體" w:eastAsia="標楷體" w:hAnsi="標楷體" w:hint="eastAsia"/>
              </w:rPr>
              <w:t>進一步</w:t>
            </w:r>
            <w:r w:rsidRPr="00A4512E">
              <w:rPr>
                <w:rFonts w:ascii="標楷體" w:eastAsia="標楷體" w:hAnsi="標楷體"/>
              </w:rPr>
              <w:t>閱讀</w:t>
            </w:r>
            <w:r w:rsidRPr="00A4512E">
              <w:rPr>
                <w:rFonts w:ascii="標楷體" w:eastAsia="標楷體" w:hAnsi="標楷體" w:hint="eastAsia"/>
              </w:rPr>
              <w:t>繪本及書籍</w:t>
            </w:r>
            <w:r w:rsidRPr="00A4512E">
              <w:rPr>
                <w:rFonts w:ascii="標楷體" w:eastAsia="標楷體" w:hAnsi="標楷體"/>
              </w:rPr>
              <w:t>的</w:t>
            </w:r>
            <w:r w:rsidRPr="00A4512E">
              <w:rPr>
                <w:rFonts w:ascii="標楷體" w:eastAsia="標楷體" w:hAnsi="標楷體" w:hint="eastAsia"/>
              </w:rPr>
              <w:t>好奇與</w:t>
            </w:r>
            <w:r w:rsidRPr="00A4512E">
              <w:rPr>
                <w:rFonts w:ascii="標楷體" w:eastAsia="標楷體" w:hAnsi="標楷體"/>
              </w:rPr>
              <w:t>興趣。</w:t>
            </w:r>
          </w:p>
        </w:tc>
        <w:tc>
          <w:tcPr>
            <w:tcW w:w="1701" w:type="dxa"/>
          </w:tcPr>
          <w:p w:rsidR="002A6814" w:rsidRDefault="002A6814" w:rsidP="00FE26ED">
            <w:pPr>
              <w:spacing w:line="440" w:lineRule="exact"/>
              <w:rPr>
                <w:rFonts w:ascii="標楷體" w:eastAsia="標楷體" w:hAnsi="標楷體" w:cs="Arial"/>
              </w:rPr>
            </w:pPr>
            <w:r>
              <w:rPr>
                <w:rFonts w:ascii="標楷體" w:eastAsia="標楷體" w:hAnsi="標楷體" w:cs="Arial" w:hint="eastAsia"/>
              </w:rPr>
              <w:t>新化演藝廳</w:t>
            </w:r>
          </w:p>
        </w:tc>
        <w:tc>
          <w:tcPr>
            <w:tcW w:w="772" w:type="dxa"/>
          </w:tcPr>
          <w:p w:rsidR="002A6814" w:rsidRDefault="002A6814" w:rsidP="00FE26ED">
            <w:pPr>
              <w:spacing w:line="440" w:lineRule="exact"/>
              <w:rPr>
                <w:rFonts w:ascii="標楷體" w:eastAsia="標楷體" w:hAnsi="標楷體" w:cs="Arial"/>
              </w:rPr>
            </w:pPr>
            <w:r>
              <w:rPr>
                <w:rFonts w:ascii="標楷體" w:eastAsia="標楷體" w:hAnsi="標楷體" w:cs="Arial" w:hint="eastAsia"/>
              </w:rPr>
              <w:t>國中</w:t>
            </w:r>
          </w:p>
        </w:tc>
        <w:tc>
          <w:tcPr>
            <w:tcW w:w="929" w:type="dxa"/>
          </w:tcPr>
          <w:p w:rsidR="002A6814" w:rsidRDefault="002A6814" w:rsidP="00FE26ED">
            <w:pPr>
              <w:spacing w:line="440" w:lineRule="exact"/>
              <w:rPr>
                <w:rFonts w:ascii="標楷體" w:eastAsia="標楷體" w:hAnsi="標楷體" w:cs="Arial"/>
              </w:rPr>
            </w:pPr>
            <w:r>
              <w:rPr>
                <w:rFonts w:ascii="標楷體" w:eastAsia="標楷體" w:hAnsi="標楷體" w:cs="Arial" w:hint="eastAsia"/>
              </w:rPr>
              <w:t>440</w:t>
            </w:r>
          </w:p>
        </w:tc>
      </w:tr>
      <w:tr w:rsidR="002A6814" w:rsidRPr="00131632" w:rsidTr="002A6814">
        <w:tc>
          <w:tcPr>
            <w:tcW w:w="1747" w:type="dxa"/>
          </w:tcPr>
          <w:p w:rsidR="002A6814" w:rsidRPr="00AA693C" w:rsidRDefault="002A6814" w:rsidP="00FE26ED">
            <w:pPr>
              <w:spacing w:line="440" w:lineRule="exact"/>
              <w:rPr>
                <w:rFonts w:ascii="標楷體" w:eastAsia="標楷體" w:hAnsi="標楷體" w:cs="Arial"/>
              </w:rPr>
            </w:pPr>
            <w:r w:rsidRPr="00AA693C">
              <w:rPr>
                <w:rFonts w:ascii="標楷體" w:eastAsia="標楷體" w:hAnsi="標楷體" w:hint="eastAsia"/>
              </w:rPr>
              <w:lastRenderedPageBreak/>
              <w:t>小丑默劇團</w:t>
            </w:r>
          </w:p>
        </w:tc>
        <w:tc>
          <w:tcPr>
            <w:tcW w:w="2011" w:type="dxa"/>
          </w:tcPr>
          <w:p w:rsidR="002A6814" w:rsidRPr="00AA693C" w:rsidRDefault="002A6814" w:rsidP="00FE26ED">
            <w:pPr>
              <w:spacing w:line="440" w:lineRule="exact"/>
              <w:rPr>
                <w:rFonts w:ascii="標楷體" w:eastAsia="標楷體" w:hAnsi="標楷體" w:cs="Arial"/>
              </w:rPr>
            </w:pPr>
            <w:proofErr w:type="gramStart"/>
            <w:r w:rsidRPr="00AA693C">
              <w:rPr>
                <w:rFonts w:ascii="標楷體" w:eastAsia="標楷體" w:hAnsi="標楷體" w:hint="eastAsia"/>
              </w:rPr>
              <w:t>變身熊偵探</w:t>
            </w:r>
            <w:proofErr w:type="gramEnd"/>
          </w:p>
        </w:tc>
        <w:tc>
          <w:tcPr>
            <w:tcW w:w="2693" w:type="dxa"/>
          </w:tcPr>
          <w:p w:rsidR="002A6814" w:rsidRPr="00131632" w:rsidRDefault="002A6814" w:rsidP="00492622">
            <w:pPr>
              <w:spacing w:line="440" w:lineRule="exact"/>
              <w:rPr>
                <w:rFonts w:ascii="標楷體" w:eastAsia="標楷體" w:hAnsi="標楷體" w:cs="Arial"/>
              </w:rPr>
            </w:pPr>
            <w:r>
              <w:rPr>
                <w:rFonts w:ascii="標楷體" w:eastAsia="標楷體" w:hAnsi="標楷體" w:cs="Arial" w:hint="eastAsia"/>
              </w:rPr>
              <w:t>102.11.6(三)</w:t>
            </w:r>
            <w:r w:rsidR="00492622">
              <w:rPr>
                <w:rFonts w:ascii="標楷體" w:eastAsia="標楷體" w:hAnsi="標楷體" w:cs="Arial" w:hint="eastAsia"/>
              </w:rPr>
              <w:t>10：00</w:t>
            </w:r>
          </w:p>
        </w:tc>
        <w:tc>
          <w:tcPr>
            <w:tcW w:w="5786" w:type="dxa"/>
          </w:tcPr>
          <w:p w:rsidR="002A6814" w:rsidRPr="00B21990" w:rsidRDefault="00B21990" w:rsidP="00B21990">
            <w:pPr>
              <w:jc w:val="both"/>
              <w:rPr>
                <w:rFonts w:ascii="標楷體" w:eastAsia="標楷體" w:hAnsi="標楷體" w:cs="Arial"/>
              </w:rPr>
            </w:pPr>
            <w:r w:rsidRPr="00B21990">
              <w:rPr>
                <w:rFonts w:ascii="標楷體" w:eastAsia="標楷體" w:hAnsi="標楷體" w:hint="eastAsia"/>
              </w:rPr>
              <w:t>這是一部關於愛與同理心、男女性別平等的戲劇表演、愛護自然和動物，將以偵探推理大型魔術歌舞戲劇方式呈現。演出中的情節，巧妙運用魔術的配合之下，將產生令人驚奇的效果；另一方面，演出也編排或熱鬧或感動的歌舞場面，襯托出劇情所需要的氛圍與敘事方式，務求讓觀眾沉醉在演出中，獲得最佳的欣賞體驗。</w:t>
            </w:r>
          </w:p>
        </w:tc>
        <w:tc>
          <w:tcPr>
            <w:tcW w:w="1701" w:type="dxa"/>
          </w:tcPr>
          <w:p w:rsidR="002A6814" w:rsidRPr="00131632" w:rsidRDefault="00BA6D0D" w:rsidP="00FE26ED">
            <w:pPr>
              <w:spacing w:line="440" w:lineRule="exact"/>
              <w:rPr>
                <w:rFonts w:ascii="標楷體" w:eastAsia="標楷體" w:hAnsi="標楷體" w:cs="Arial"/>
              </w:rPr>
            </w:pPr>
            <w:proofErr w:type="gramStart"/>
            <w:r>
              <w:rPr>
                <w:rFonts w:ascii="標楷體" w:eastAsia="標楷體" w:hAnsi="標楷體" w:cs="Arial" w:hint="eastAsia"/>
              </w:rPr>
              <w:t>臺</w:t>
            </w:r>
            <w:proofErr w:type="gramEnd"/>
            <w:r>
              <w:rPr>
                <w:rFonts w:ascii="標楷體" w:eastAsia="標楷體" w:hAnsi="標楷體" w:cs="Arial" w:hint="eastAsia"/>
              </w:rPr>
              <w:t>南文化中心</w:t>
            </w:r>
            <w:r w:rsidR="002A6814">
              <w:rPr>
                <w:rFonts w:ascii="標楷體" w:eastAsia="標楷體" w:hAnsi="標楷體" w:cs="Arial" w:hint="eastAsia"/>
              </w:rPr>
              <w:t>演藝廳</w:t>
            </w:r>
          </w:p>
        </w:tc>
        <w:tc>
          <w:tcPr>
            <w:tcW w:w="772"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國小</w:t>
            </w:r>
          </w:p>
        </w:tc>
        <w:tc>
          <w:tcPr>
            <w:tcW w:w="929"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852</w:t>
            </w:r>
          </w:p>
        </w:tc>
      </w:tr>
      <w:tr w:rsidR="002A6814" w:rsidRPr="00131632" w:rsidTr="002A6814">
        <w:tc>
          <w:tcPr>
            <w:tcW w:w="1747"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陳冠宇室內樂團</w:t>
            </w:r>
          </w:p>
        </w:tc>
        <w:tc>
          <w:tcPr>
            <w:tcW w:w="2011"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陳冠宇2013室內樂音樂會</w:t>
            </w:r>
          </w:p>
        </w:tc>
        <w:tc>
          <w:tcPr>
            <w:tcW w:w="2693" w:type="dxa"/>
          </w:tcPr>
          <w:p w:rsidR="002A6814" w:rsidRPr="00131632" w:rsidRDefault="002A6814" w:rsidP="00492622">
            <w:pPr>
              <w:spacing w:line="440" w:lineRule="exact"/>
              <w:rPr>
                <w:rFonts w:ascii="標楷體" w:eastAsia="標楷體" w:hAnsi="標楷體" w:cs="Arial"/>
              </w:rPr>
            </w:pPr>
            <w:r>
              <w:rPr>
                <w:rFonts w:ascii="標楷體" w:eastAsia="標楷體" w:hAnsi="標楷體" w:cs="Arial" w:hint="eastAsia"/>
              </w:rPr>
              <w:t>102.11.7(四)</w:t>
            </w:r>
            <w:r w:rsidR="00492622">
              <w:rPr>
                <w:rFonts w:ascii="標楷體" w:eastAsia="標楷體" w:hAnsi="標楷體" w:cs="Arial" w:hint="eastAsia"/>
              </w:rPr>
              <w:t>10：00</w:t>
            </w:r>
          </w:p>
        </w:tc>
        <w:tc>
          <w:tcPr>
            <w:tcW w:w="5786" w:type="dxa"/>
          </w:tcPr>
          <w:p w:rsidR="002A6814" w:rsidRPr="00BE6512" w:rsidRDefault="00BE6512" w:rsidP="00BE6512">
            <w:pPr>
              <w:widowControl/>
              <w:spacing w:before="100" w:beforeAutospacing="1" w:after="100" w:afterAutospacing="1"/>
              <w:rPr>
                <w:rFonts w:ascii="標楷體" w:eastAsia="標楷體" w:hAnsi="標楷體" w:cs="Arial"/>
              </w:rPr>
            </w:pPr>
            <w:r w:rsidRPr="00E66E2C">
              <w:rPr>
                <w:rFonts w:eastAsia="標楷體"/>
                <w:kern w:val="0"/>
              </w:rPr>
              <w:t>精緻的古典音樂透過活潑的企劃、多元的演出形式、適當的講解，以及</w:t>
            </w:r>
            <w:r>
              <w:rPr>
                <w:rFonts w:eastAsia="標楷體" w:hint="eastAsia"/>
                <w:kern w:val="0"/>
              </w:rPr>
              <w:t>台上演出者幽默風趣地</w:t>
            </w:r>
            <w:r>
              <w:rPr>
                <w:rFonts w:eastAsia="標楷體"/>
                <w:kern w:val="0"/>
              </w:rPr>
              <w:t>與觀眾親密地互動，即能讓</w:t>
            </w:r>
            <w:r>
              <w:rPr>
                <w:rFonts w:eastAsia="標楷體" w:hint="eastAsia"/>
                <w:kern w:val="0"/>
              </w:rPr>
              <w:t>學生能</w:t>
            </w:r>
            <w:r w:rsidRPr="00E66E2C">
              <w:rPr>
                <w:rFonts w:eastAsia="標楷體"/>
                <w:kern w:val="0"/>
              </w:rPr>
              <w:t>輕鬆地體驗音樂之美，而不會感覺沉悶、坐如針氈。也因此，本次演出特別安排多元演出形式，包括鋼琴獨奏、小提琴與鋼琴二重奏、大提琴與鋼琴二重奏，以及</w:t>
            </w:r>
            <w:r>
              <w:rPr>
                <w:rFonts w:eastAsia="標楷體"/>
                <w:kern w:val="0"/>
              </w:rPr>
              <w:t>鋼琴</w:t>
            </w:r>
            <w:proofErr w:type="gramStart"/>
            <w:r>
              <w:rPr>
                <w:rFonts w:eastAsia="標楷體"/>
                <w:kern w:val="0"/>
              </w:rPr>
              <w:t>三</w:t>
            </w:r>
            <w:proofErr w:type="gramEnd"/>
            <w:r>
              <w:rPr>
                <w:rFonts w:eastAsia="標楷體"/>
                <w:kern w:val="0"/>
              </w:rPr>
              <w:t>重奏，曲目更橫跨古典至流行、台灣民謠，讓</w:t>
            </w:r>
            <w:r>
              <w:rPr>
                <w:rFonts w:eastAsia="標楷體" w:hint="eastAsia"/>
                <w:kern w:val="0"/>
              </w:rPr>
              <w:t>聽眾</w:t>
            </w:r>
            <w:r w:rsidRPr="00E66E2C">
              <w:rPr>
                <w:rFonts w:eastAsia="標楷體"/>
                <w:kern w:val="0"/>
              </w:rPr>
              <w:t>能充分感受豐富音樂魅力之所在，進而達到後續接觸、學習的積極推廣與教育效果。</w:t>
            </w:r>
          </w:p>
        </w:tc>
        <w:tc>
          <w:tcPr>
            <w:tcW w:w="1701" w:type="dxa"/>
          </w:tcPr>
          <w:p w:rsidR="002A6814" w:rsidRPr="00131632" w:rsidRDefault="00BA6D0D" w:rsidP="00FE26ED">
            <w:pPr>
              <w:spacing w:line="440" w:lineRule="exact"/>
              <w:rPr>
                <w:rFonts w:ascii="標楷體" w:eastAsia="標楷體" w:hAnsi="標楷體" w:cs="Arial"/>
              </w:rPr>
            </w:pPr>
            <w:proofErr w:type="gramStart"/>
            <w:r>
              <w:rPr>
                <w:rFonts w:ascii="標楷體" w:eastAsia="標楷體" w:hAnsi="標楷體" w:cs="Arial" w:hint="eastAsia"/>
              </w:rPr>
              <w:t>臺</w:t>
            </w:r>
            <w:proofErr w:type="gramEnd"/>
            <w:r>
              <w:rPr>
                <w:rFonts w:ascii="標楷體" w:eastAsia="標楷體" w:hAnsi="標楷體" w:cs="Arial" w:hint="eastAsia"/>
              </w:rPr>
              <w:t>南文化中心</w:t>
            </w:r>
            <w:r w:rsidR="002A6814">
              <w:rPr>
                <w:rFonts w:ascii="標楷體" w:eastAsia="標楷體" w:hAnsi="標楷體" w:cs="Arial" w:hint="eastAsia"/>
              </w:rPr>
              <w:t>演藝廳</w:t>
            </w:r>
          </w:p>
        </w:tc>
        <w:tc>
          <w:tcPr>
            <w:tcW w:w="772"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國中</w:t>
            </w:r>
          </w:p>
        </w:tc>
        <w:tc>
          <w:tcPr>
            <w:tcW w:w="929"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852</w:t>
            </w:r>
          </w:p>
        </w:tc>
      </w:tr>
      <w:tr w:rsidR="002A6814" w:rsidRPr="00131632" w:rsidTr="002A6814">
        <w:tc>
          <w:tcPr>
            <w:tcW w:w="1747" w:type="dxa"/>
          </w:tcPr>
          <w:p w:rsidR="002A6814" w:rsidRPr="00131632" w:rsidRDefault="002A6814" w:rsidP="00FE26ED">
            <w:pPr>
              <w:spacing w:line="440" w:lineRule="exact"/>
              <w:rPr>
                <w:rFonts w:ascii="標楷體" w:eastAsia="標楷體" w:hAnsi="標楷體" w:cs="Arial"/>
              </w:rPr>
            </w:pPr>
            <w:r w:rsidRPr="00131632">
              <w:rPr>
                <w:rFonts w:ascii="標楷體" w:eastAsia="標楷體" w:hAnsi="標楷體" w:cs="Arial" w:hint="eastAsia"/>
              </w:rPr>
              <w:t>九歌兒童劇團</w:t>
            </w:r>
          </w:p>
        </w:tc>
        <w:tc>
          <w:tcPr>
            <w:tcW w:w="2011"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東郭、獵人、狼</w:t>
            </w:r>
          </w:p>
        </w:tc>
        <w:tc>
          <w:tcPr>
            <w:tcW w:w="2693" w:type="dxa"/>
          </w:tcPr>
          <w:p w:rsidR="002A6814" w:rsidRPr="00131632" w:rsidRDefault="002A6814" w:rsidP="00492622">
            <w:pPr>
              <w:spacing w:line="440" w:lineRule="exact"/>
              <w:rPr>
                <w:rFonts w:ascii="標楷體" w:eastAsia="標楷體" w:hAnsi="標楷體" w:cs="Arial"/>
              </w:rPr>
            </w:pPr>
            <w:r>
              <w:rPr>
                <w:rFonts w:ascii="標楷體" w:eastAsia="標楷體" w:hAnsi="標楷體" w:cs="Arial" w:hint="eastAsia"/>
              </w:rPr>
              <w:t>102.</w:t>
            </w:r>
            <w:r>
              <w:rPr>
                <w:rFonts w:ascii="標楷體" w:eastAsia="標楷體" w:hint="eastAsia"/>
              </w:rPr>
              <w:t>11.19（二）</w:t>
            </w:r>
            <w:r w:rsidR="00492622">
              <w:rPr>
                <w:rFonts w:ascii="標楷體" w:eastAsia="標楷體" w:hint="eastAsia"/>
              </w:rPr>
              <w:t>14：00</w:t>
            </w:r>
          </w:p>
        </w:tc>
        <w:tc>
          <w:tcPr>
            <w:tcW w:w="5786" w:type="dxa"/>
          </w:tcPr>
          <w:p w:rsidR="002A6814" w:rsidRPr="002A6814" w:rsidRDefault="002A6814" w:rsidP="00BE6512">
            <w:pPr>
              <w:widowControl/>
              <w:spacing w:before="100" w:beforeAutospacing="1" w:after="100" w:afterAutospacing="1"/>
              <w:rPr>
                <w:rFonts w:ascii="標楷體" w:eastAsia="標楷體"/>
              </w:rPr>
            </w:pPr>
            <w:r w:rsidRPr="002A6814">
              <w:rPr>
                <w:rFonts w:ascii="標楷體" w:eastAsia="標楷體" w:hint="eastAsia"/>
              </w:rPr>
              <w:t>書生</w:t>
            </w:r>
            <w:r w:rsidRPr="002A6814">
              <w:rPr>
                <w:rFonts w:ascii="標楷體" w:eastAsia="標楷體" w:hint="eastAsia"/>
                <w:u w:val="single"/>
              </w:rPr>
              <w:t>東郭</w:t>
            </w:r>
            <w:r w:rsidRPr="002A6814">
              <w:rPr>
                <w:rFonts w:ascii="標楷體" w:eastAsia="標楷體" w:hint="eastAsia"/>
              </w:rPr>
              <w:t>救了一隻被獵人追趕的野狼，</w:t>
            </w:r>
            <w:proofErr w:type="gramStart"/>
            <w:r w:rsidRPr="002A6814">
              <w:rPr>
                <w:rFonts w:ascii="標楷體" w:eastAsia="標楷體" w:hint="eastAsia"/>
              </w:rPr>
              <w:t>但野狼</w:t>
            </w:r>
            <w:proofErr w:type="gramEnd"/>
            <w:r w:rsidRPr="002A6814">
              <w:rPr>
                <w:rFonts w:ascii="標楷體" w:eastAsia="標楷體" w:hint="eastAsia"/>
              </w:rPr>
              <w:t>卻因飢餓想吃掉</w:t>
            </w:r>
            <w:r w:rsidRPr="002A6814">
              <w:rPr>
                <w:rFonts w:ascii="標楷體" w:eastAsia="標楷體" w:hint="eastAsia"/>
                <w:u w:val="single"/>
              </w:rPr>
              <w:t>東郭</w:t>
            </w:r>
            <w:r w:rsidRPr="002A6814">
              <w:rPr>
                <w:rFonts w:ascii="標楷體" w:eastAsia="標楷體" w:hint="eastAsia"/>
              </w:rPr>
              <w:t>，所幸後來野狼答應</w:t>
            </w:r>
            <w:r w:rsidRPr="002A6814">
              <w:rPr>
                <w:rFonts w:ascii="標楷體" w:eastAsia="標楷體" w:hint="eastAsia"/>
                <w:u w:val="single"/>
              </w:rPr>
              <w:t>東郭</w:t>
            </w:r>
            <w:r w:rsidRPr="002A6814">
              <w:rPr>
                <w:rFonts w:ascii="標楷體" w:eastAsia="標楷體" w:hint="eastAsia"/>
              </w:rPr>
              <w:t>「請三個老者評理，來決定野狼能否吃掉他」。不料，遇到的老樹及</w:t>
            </w:r>
            <w:proofErr w:type="gramStart"/>
            <w:r w:rsidRPr="002A6814">
              <w:rPr>
                <w:rFonts w:ascii="標楷體" w:eastAsia="標楷體" w:hint="eastAsia"/>
              </w:rPr>
              <w:t>老牛皆因</w:t>
            </w:r>
            <w:proofErr w:type="gramEnd"/>
            <w:r w:rsidRPr="002A6814">
              <w:rPr>
                <w:rFonts w:ascii="標楷體" w:eastAsia="標楷體" w:hint="eastAsia"/>
              </w:rPr>
              <w:t>人類曾忘恩負義，同意</w:t>
            </w:r>
            <w:proofErr w:type="gramStart"/>
            <w:r w:rsidRPr="002A6814">
              <w:rPr>
                <w:rFonts w:ascii="標楷體" w:eastAsia="標楷體" w:hint="eastAsia"/>
              </w:rPr>
              <w:t>野狼吃掉</w:t>
            </w:r>
            <w:proofErr w:type="gramEnd"/>
            <w:r w:rsidRPr="002A6814">
              <w:rPr>
                <w:rFonts w:ascii="標楷體" w:eastAsia="標楷體" w:hint="eastAsia"/>
                <w:u w:val="single"/>
              </w:rPr>
              <w:t>東郭</w:t>
            </w:r>
            <w:r w:rsidRPr="002A6814">
              <w:rPr>
                <w:rFonts w:ascii="標楷體" w:eastAsia="標楷體" w:hint="eastAsia"/>
              </w:rPr>
              <w:t>，直到遇見第三</w:t>
            </w:r>
            <w:proofErr w:type="gramStart"/>
            <w:r w:rsidRPr="002A6814">
              <w:rPr>
                <w:rFonts w:ascii="標楷體" w:eastAsia="標楷體" w:hint="eastAsia"/>
              </w:rPr>
              <w:t>個</w:t>
            </w:r>
            <w:proofErr w:type="gramEnd"/>
            <w:r w:rsidRPr="002A6814">
              <w:rPr>
                <w:rFonts w:ascii="標楷體" w:eastAsia="標楷體" w:hint="eastAsia"/>
              </w:rPr>
              <w:t>由獵人假扮的老人，協助抓住野狼，</w:t>
            </w:r>
            <w:r w:rsidRPr="002A6814">
              <w:rPr>
                <w:rFonts w:ascii="標楷體" w:eastAsia="標楷體" w:hint="eastAsia"/>
                <w:u w:val="single"/>
              </w:rPr>
              <w:t>東郭</w:t>
            </w:r>
            <w:r w:rsidRPr="002A6814">
              <w:rPr>
                <w:rFonts w:ascii="標楷體" w:eastAsia="標楷體" w:hint="eastAsia"/>
              </w:rPr>
              <w:t>才化險為夷。</w:t>
            </w:r>
          </w:p>
          <w:p w:rsidR="002A6814" w:rsidRDefault="002A6814" w:rsidP="00BE6512">
            <w:pPr>
              <w:widowControl/>
              <w:spacing w:before="100" w:beforeAutospacing="1" w:after="100" w:afterAutospacing="1"/>
              <w:rPr>
                <w:rFonts w:ascii="標楷體" w:eastAsia="標楷體" w:hAnsi="標楷體" w:cs="Arial"/>
              </w:rPr>
            </w:pPr>
            <w:r w:rsidRPr="002A6814">
              <w:rPr>
                <w:rFonts w:ascii="標楷體" w:eastAsia="標楷體" w:hint="eastAsia"/>
              </w:rPr>
              <w:t xml:space="preserve">    藉由劇</w:t>
            </w:r>
            <w:proofErr w:type="gramStart"/>
            <w:r w:rsidRPr="002A6814">
              <w:rPr>
                <w:rFonts w:ascii="標楷體" w:eastAsia="標楷體" w:hint="eastAsia"/>
              </w:rPr>
              <w:t>中野狼</w:t>
            </w:r>
            <w:proofErr w:type="gramEnd"/>
            <w:r w:rsidRPr="002A6814">
              <w:rPr>
                <w:rFonts w:ascii="標楷體" w:eastAsia="標楷體" w:hint="eastAsia"/>
              </w:rPr>
              <w:t>、老樹及老牛的遭遇，從不同角度提醒大小朋友應當珍惜與尊重自然界的萬物。</w:t>
            </w:r>
          </w:p>
        </w:tc>
        <w:tc>
          <w:tcPr>
            <w:tcW w:w="1701"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歸仁文化中心</w:t>
            </w:r>
          </w:p>
        </w:tc>
        <w:tc>
          <w:tcPr>
            <w:tcW w:w="772" w:type="dxa"/>
          </w:tcPr>
          <w:p w:rsidR="002A6814" w:rsidRPr="00131632" w:rsidRDefault="002A6814" w:rsidP="00FE26ED">
            <w:pPr>
              <w:spacing w:line="440" w:lineRule="exact"/>
              <w:rPr>
                <w:rFonts w:ascii="標楷體" w:eastAsia="標楷體" w:hAnsi="標楷體" w:cs="Arial"/>
              </w:rPr>
            </w:pPr>
            <w:r w:rsidRPr="00131632">
              <w:rPr>
                <w:rFonts w:ascii="標楷體" w:eastAsia="標楷體" w:hAnsi="標楷體" w:cs="Arial" w:hint="eastAsia"/>
              </w:rPr>
              <w:t>國小</w:t>
            </w:r>
          </w:p>
        </w:tc>
        <w:tc>
          <w:tcPr>
            <w:tcW w:w="929" w:type="dxa"/>
          </w:tcPr>
          <w:p w:rsidR="002A6814" w:rsidRPr="00131632" w:rsidRDefault="002A6814" w:rsidP="00FE26ED">
            <w:pPr>
              <w:spacing w:line="440" w:lineRule="exact"/>
              <w:rPr>
                <w:rFonts w:ascii="標楷體" w:eastAsia="標楷體" w:hAnsi="標楷體" w:cs="Arial"/>
              </w:rPr>
            </w:pPr>
            <w:r>
              <w:rPr>
                <w:rFonts w:ascii="標楷體" w:eastAsia="標楷體" w:hAnsi="標楷體" w:cs="Arial" w:hint="eastAsia"/>
              </w:rPr>
              <w:t>70</w:t>
            </w:r>
            <w:r w:rsidRPr="00131632">
              <w:rPr>
                <w:rFonts w:ascii="標楷體" w:eastAsia="標楷體" w:hAnsi="標楷體" w:cs="Arial" w:hint="eastAsia"/>
              </w:rPr>
              <w:t>0</w:t>
            </w:r>
          </w:p>
        </w:tc>
      </w:tr>
    </w:tbl>
    <w:p w:rsidR="007359A8" w:rsidRDefault="000424F8"/>
    <w:sectPr w:rsidR="007359A8" w:rsidSect="002A6814">
      <w:pgSz w:w="16840" w:h="11907" w:orient="landscape" w:code="9"/>
      <w:pgMar w:top="851" w:right="851" w:bottom="851" w:left="851" w:header="851" w:footer="680" w:gutter="0"/>
      <w:paperSrc w:first="257"/>
      <w:cols w:space="425"/>
      <w:docGrid w:type="linesAndChars" w:linePitch="360" w:charSpace="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4F8" w:rsidRDefault="000424F8" w:rsidP="002A0530">
      <w:r>
        <w:separator/>
      </w:r>
    </w:p>
  </w:endnote>
  <w:endnote w:type="continuationSeparator" w:id="0">
    <w:p w:rsidR="000424F8" w:rsidRDefault="000424F8" w:rsidP="002A05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4F8" w:rsidRDefault="000424F8" w:rsidP="002A0530">
      <w:r>
        <w:separator/>
      </w:r>
    </w:p>
  </w:footnote>
  <w:footnote w:type="continuationSeparator" w:id="0">
    <w:p w:rsidR="000424F8" w:rsidRDefault="000424F8" w:rsidP="002A05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241"/>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814"/>
    <w:rsid w:val="000424F8"/>
    <w:rsid w:val="00072371"/>
    <w:rsid w:val="000D49C8"/>
    <w:rsid w:val="00111A43"/>
    <w:rsid w:val="00152747"/>
    <w:rsid w:val="002A0530"/>
    <w:rsid w:val="002A6814"/>
    <w:rsid w:val="003A3880"/>
    <w:rsid w:val="00492622"/>
    <w:rsid w:val="005274DF"/>
    <w:rsid w:val="005A0D1A"/>
    <w:rsid w:val="008358F1"/>
    <w:rsid w:val="00A3786B"/>
    <w:rsid w:val="00A94CB5"/>
    <w:rsid w:val="00B21990"/>
    <w:rsid w:val="00B552AA"/>
    <w:rsid w:val="00BA6D0D"/>
    <w:rsid w:val="00BA7C1F"/>
    <w:rsid w:val="00BE651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8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6814"/>
    <w:pPr>
      <w:autoSpaceDE w:val="0"/>
      <w:autoSpaceDN w:val="0"/>
      <w:adjustRightInd w:val="0"/>
      <w:spacing w:before="240" w:line="360" w:lineRule="atLeast"/>
      <w:ind w:left="357" w:firstLine="658"/>
      <w:jc w:val="both"/>
      <w:textAlignment w:val="baseline"/>
    </w:pPr>
    <w:rPr>
      <w:rFonts w:ascii="華康楷書體W5" w:eastAsia="華康楷書體W5"/>
      <w:kern w:val="0"/>
      <w:sz w:val="28"/>
      <w:szCs w:val="20"/>
    </w:rPr>
  </w:style>
  <w:style w:type="character" w:customStyle="1" w:styleId="a4">
    <w:name w:val="本文縮排 字元"/>
    <w:basedOn w:val="a0"/>
    <w:link w:val="a3"/>
    <w:rsid w:val="002A6814"/>
    <w:rPr>
      <w:rFonts w:ascii="華康楷書體W5" w:eastAsia="華康楷書體W5" w:hAnsi="Times New Roman" w:cs="Times New Roman"/>
      <w:kern w:val="0"/>
      <w:sz w:val="28"/>
      <w:szCs w:val="20"/>
    </w:rPr>
  </w:style>
  <w:style w:type="paragraph" w:styleId="a5">
    <w:name w:val="header"/>
    <w:basedOn w:val="a"/>
    <w:link w:val="a6"/>
    <w:uiPriority w:val="99"/>
    <w:semiHidden/>
    <w:unhideWhenUsed/>
    <w:rsid w:val="002A0530"/>
    <w:pPr>
      <w:tabs>
        <w:tab w:val="center" w:pos="4153"/>
        <w:tab w:val="right" w:pos="8306"/>
      </w:tabs>
      <w:snapToGrid w:val="0"/>
    </w:pPr>
    <w:rPr>
      <w:sz w:val="20"/>
      <w:szCs w:val="20"/>
    </w:rPr>
  </w:style>
  <w:style w:type="character" w:customStyle="1" w:styleId="a6">
    <w:name w:val="頁首 字元"/>
    <w:basedOn w:val="a0"/>
    <w:link w:val="a5"/>
    <w:uiPriority w:val="99"/>
    <w:semiHidden/>
    <w:rsid w:val="002A0530"/>
    <w:rPr>
      <w:rFonts w:ascii="Times New Roman" w:eastAsia="新細明體" w:hAnsi="Times New Roman" w:cs="Times New Roman"/>
      <w:sz w:val="20"/>
      <w:szCs w:val="20"/>
    </w:rPr>
  </w:style>
  <w:style w:type="paragraph" w:styleId="a7">
    <w:name w:val="footer"/>
    <w:basedOn w:val="a"/>
    <w:link w:val="a8"/>
    <w:uiPriority w:val="99"/>
    <w:semiHidden/>
    <w:unhideWhenUsed/>
    <w:rsid w:val="002A0530"/>
    <w:pPr>
      <w:tabs>
        <w:tab w:val="center" w:pos="4153"/>
        <w:tab w:val="right" w:pos="8306"/>
      </w:tabs>
      <w:snapToGrid w:val="0"/>
    </w:pPr>
    <w:rPr>
      <w:sz w:val="20"/>
      <w:szCs w:val="20"/>
    </w:rPr>
  </w:style>
  <w:style w:type="character" w:customStyle="1" w:styleId="a8">
    <w:name w:val="頁尾 字元"/>
    <w:basedOn w:val="a0"/>
    <w:link w:val="a7"/>
    <w:uiPriority w:val="99"/>
    <w:semiHidden/>
    <w:rsid w:val="002A053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郭淑玲</dc:creator>
  <cp:lastModifiedBy>郭淑玲</cp:lastModifiedBy>
  <cp:revision>4</cp:revision>
  <dcterms:created xsi:type="dcterms:W3CDTF">2013-09-04T00:22:00Z</dcterms:created>
  <dcterms:modified xsi:type="dcterms:W3CDTF">2013-09-06T08:37:00Z</dcterms:modified>
</cp:coreProperties>
</file>